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0D5" w14:textId="77777777" w:rsidR="00350B75" w:rsidRDefault="00000000">
      <w:pPr>
        <w:spacing w:after="75" w:line="259" w:lineRule="auto"/>
        <w:ind w:left="0" w:firstLine="0"/>
      </w:pPr>
      <w:r>
        <w:rPr>
          <w:sz w:val="36"/>
        </w:rPr>
        <w:t xml:space="preserve">Non-Traditional Student Scholarship </w:t>
      </w:r>
    </w:p>
    <w:p w14:paraId="39A85062" w14:textId="77777777" w:rsidR="00350B75" w:rsidRDefault="00000000">
      <w:pPr>
        <w:spacing w:after="279" w:line="246" w:lineRule="auto"/>
        <w:ind w:left="0" w:firstLine="0"/>
      </w:pPr>
      <w:r>
        <w:rPr>
          <w:color w:val="636466"/>
        </w:rPr>
        <w:t xml:space="preserve">Getting a job or staying competitive in today’s workplace involves showing employers you have the skills and experience to get the job done. In many cases, returning to college is a must. The American Legion Auxiliary's goal is to do all we can to make that happen, and that’s what the Non-Traditional Student Scholarship is all about. This scholarship helps people who are part of The Legion Family pursue a college degree later in life or allow them to pick up where they left off when their studies were interrupted. If you’re at this place in life, this may be the right scholarship for you. </w:t>
      </w:r>
    </w:p>
    <w:p w14:paraId="092093C0" w14:textId="77777777" w:rsidR="00350B75" w:rsidRDefault="00000000">
      <w:pPr>
        <w:spacing w:after="0" w:line="259" w:lineRule="auto"/>
        <w:ind w:left="0" w:firstLine="0"/>
      </w:pPr>
      <w:hyperlink r:id="rId5">
        <w:r>
          <w:rPr>
            <w:color w:val="023B79"/>
          </w:rPr>
          <w:t>View Scholarship Recipients</w:t>
        </w:r>
      </w:hyperlink>
      <w:hyperlink r:id="rId6">
        <w:r>
          <w:rPr>
            <w:color w:val="636466"/>
          </w:rPr>
          <w:t xml:space="preserve"> </w:t>
        </w:r>
      </w:hyperlink>
    </w:p>
    <w:tbl>
      <w:tblPr>
        <w:tblStyle w:val="TableGrid"/>
        <w:tblW w:w="9405" w:type="dxa"/>
        <w:tblInd w:w="-14" w:type="dxa"/>
        <w:tblCellMar>
          <w:top w:w="0" w:type="dxa"/>
          <w:left w:w="0" w:type="dxa"/>
          <w:bottom w:w="0" w:type="dxa"/>
          <w:right w:w="0" w:type="dxa"/>
        </w:tblCellMar>
        <w:tblLook w:val="04A0" w:firstRow="1" w:lastRow="0" w:firstColumn="1" w:lastColumn="0" w:noHBand="0" w:noVBand="1"/>
      </w:tblPr>
      <w:tblGrid>
        <w:gridCol w:w="2052"/>
        <w:gridCol w:w="7353"/>
      </w:tblGrid>
      <w:tr w:rsidR="00350B75" w14:paraId="3EAB21BB" w14:textId="77777777">
        <w:trPr>
          <w:trHeight w:val="1728"/>
        </w:trPr>
        <w:tc>
          <w:tcPr>
            <w:tcW w:w="9405" w:type="dxa"/>
            <w:gridSpan w:val="2"/>
            <w:tcBorders>
              <w:top w:val="nil"/>
              <w:left w:val="nil"/>
              <w:bottom w:val="nil"/>
              <w:right w:val="nil"/>
            </w:tcBorders>
            <w:shd w:val="clear" w:color="auto" w:fill="E2E3E5"/>
          </w:tcPr>
          <w:p w14:paraId="41D0DF8D" w14:textId="77777777" w:rsidR="00350B75" w:rsidRDefault="00000000">
            <w:pPr>
              <w:spacing w:after="0" w:line="259" w:lineRule="auto"/>
              <w:ind w:left="14" w:firstLine="0"/>
            </w:pPr>
            <w:r>
              <w:rPr>
                <w:b/>
                <w:color w:val="383D41"/>
              </w:rPr>
              <w:t>Scholarships Awarded</w:t>
            </w:r>
            <w:r>
              <w:rPr>
                <w:color w:val="383D41"/>
              </w:rPr>
              <w:t xml:space="preserve"> </w:t>
            </w:r>
          </w:p>
          <w:p w14:paraId="051D03E9" w14:textId="77777777" w:rsidR="00350B75" w:rsidRDefault="00000000">
            <w:pPr>
              <w:spacing w:after="0" w:line="236" w:lineRule="auto"/>
              <w:ind w:left="14" w:firstLine="0"/>
            </w:pPr>
            <w:r>
              <w:rPr>
                <w:color w:val="383D41"/>
              </w:rPr>
              <w:t xml:space="preserve">One $2,000 scholarship is awarded annually per Auxiliary geographic division. Applicant may be pursuing training in a certified, trade, professional, or technical program, or a </w:t>
            </w:r>
            <w:proofErr w:type="spellStart"/>
            <w:r>
              <w:rPr>
                <w:color w:val="383D41"/>
              </w:rPr>
              <w:t>twoyear</w:t>
            </w:r>
            <w:proofErr w:type="spellEnd"/>
            <w:r>
              <w:rPr>
                <w:color w:val="383D41"/>
              </w:rPr>
              <w:t xml:space="preserve"> or four-year degree program. </w:t>
            </w:r>
          </w:p>
          <w:p w14:paraId="452BB366" w14:textId="77777777" w:rsidR="00350B75" w:rsidRDefault="00000000">
            <w:pPr>
              <w:spacing w:after="0" w:line="259" w:lineRule="auto"/>
              <w:ind w:left="14" w:firstLine="0"/>
            </w:pPr>
            <w:r>
              <w:rPr>
                <w:color w:val="383D41"/>
              </w:rPr>
              <w:t xml:space="preserve"> </w:t>
            </w:r>
          </w:p>
          <w:p w14:paraId="388E1AE9" w14:textId="77777777" w:rsidR="00350B75" w:rsidRDefault="00000000">
            <w:pPr>
              <w:spacing w:after="0" w:line="259" w:lineRule="auto"/>
              <w:ind w:left="14" w:firstLine="0"/>
            </w:pPr>
            <w:r>
              <w:rPr>
                <w:b/>
                <w:color w:val="383D41"/>
              </w:rPr>
              <w:t>Scholarship Deadline:</w:t>
            </w:r>
            <w:r>
              <w:rPr>
                <w:color w:val="383D41"/>
              </w:rPr>
              <w:t xml:space="preserve"> March 1 of each calendar year </w:t>
            </w:r>
          </w:p>
        </w:tc>
      </w:tr>
      <w:tr w:rsidR="00350B75" w14:paraId="78B763DA" w14:textId="77777777">
        <w:trPr>
          <w:trHeight w:val="288"/>
        </w:trPr>
        <w:tc>
          <w:tcPr>
            <w:tcW w:w="2052" w:type="dxa"/>
            <w:tcBorders>
              <w:top w:val="nil"/>
              <w:left w:val="nil"/>
              <w:bottom w:val="nil"/>
              <w:right w:val="nil"/>
            </w:tcBorders>
            <w:shd w:val="clear" w:color="auto" w:fill="07477D"/>
          </w:tcPr>
          <w:p w14:paraId="4639C88B" w14:textId="77777777" w:rsidR="00350B75" w:rsidRDefault="00000000">
            <w:pPr>
              <w:spacing w:after="0" w:line="259" w:lineRule="auto"/>
              <w:ind w:left="14" w:firstLine="0"/>
              <w:jc w:val="both"/>
            </w:pPr>
            <w:hyperlink r:id="rId7">
              <w:r>
                <w:rPr>
                  <w:b/>
                  <w:color w:val="EEA542"/>
                </w:rPr>
                <w:t>Submit Application</w:t>
              </w:r>
            </w:hyperlink>
          </w:p>
        </w:tc>
        <w:tc>
          <w:tcPr>
            <w:tcW w:w="7353" w:type="dxa"/>
            <w:tcBorders>
              <w:top w:val="nil"/>
              <w:left w:val="nil"/>
              <w:bottom w:val="nil"/>
              <w:right w:val="nil"/>
            </w:tcBorders>
            <w:shd w:val="clear" w:color="auto" w:fill="E2E3E5"/>
          </w:tcPr>
          <w:p w14:paraId="31CF4C85" w14:textId="77777777" w:rsidR="00350B75" w:rsidRDefault="00000000">
            <w:pPr>
              <w:spacing w:after="0" w:line="259" w:lineRule="auto"/>
              <w:ind w:left="0" w:firstLine="0"/>
            </w:pPr>
            <w:hyperlink r:id="rId8">
              <w:r>
                <w:rPr>
                  <w:color w:val="383D41"/>
                </w:rPr>
                <w:t xml:space="preserve"> </w:t>
              </w:r>
            </w:hyperlink>
          </w:p>
        </w:tc>
      </w:tr>
      <w:tr w:rsidR="00350B75" w14:paraId="4B8210DE" w14:textId="77777777">
        <w:trPr>
          <w:trHeight w:val="324"/>
        </w:trPr>
        <w:tc>
          <w:tcPr>
            <w:tcW w:w="9405" w:type="dxa"/>
            <w:gridSpan w:val="2"/>
            <w:tcBorders>
              <w:top w:val="nil"/>
              <w:left w:val="nil"/>
              <w:bottom w:val="nil"/>
              <w:right w:val="nil"/>
            </w:tcBorders>
            <w:shd w:val="clear" w:color="auto" w:fill="FFFFFF"/>
          </w:tcPr>
          <w:p w14:paraId="2E7EA4B9" w14:textId="77777777" w:rsidR="00350B75" w:rsidRDefault="00000000">
            <w:pPr>
              <w:spacing w:after="0" w:line="259" w:lineRule="auto"/>
              <w:ind w:left="14" w:firstLine="0"/>
            </w:pPr>
            <w:r>
              <w:rPr>
                <w:sz w:val="27"/>
              </w:rPr>
              <w:t xml:space="preserve">Scholarship Rules </w:t>
            </w:r>
          </w:p>
        </w:tc>
      </w:tr>
    </w:tbl>
    <w:p w14:paraId="57CDEF4F" w14:textId="77777777" w:rsidR="00350B75" w:rsidRDefault="00000000">
      <w:pPr>
        <w:numPr>
          <w:ilvl w:val="0"/>
          <w:numId w:val="1"/>
        </w:numPr>
        <w:ind w:hanging="360"/>
      </w:pPr>
      <w:r>
        <w:t xml:space="preserve">Applicants must be: </w:t>
      </w:r>
    </w:p>
    <w:p w14:paraId="1262A1AA" w14:textId="77777777" w:rsidR="00350B75" w:rsidRDefault="00000000">
      <w:pPr>
        <w:numPr>
          <w:ilvl w:val="1"/>
          <w:numId w:val="1"/>
        </w:numPr>
        <w:ind w:hanging="360"/>
      </w:pPr>
      <w:r>
        <w:t xml:space="preserve">A current member in good standing of The American Legion, American Legion Auxiliary, or Sons of The American Legion, must have held membership for the two preceding years (2022 and 2023), and be a paid member for the current (2024) membership year, OR </w:t>
      </w:r>
    </w:p>
    <w:p w14:paraId="6CE0A2D0" w14:textId="77777777" w:rsidR="00350B75" w:rsidRDefault="00000000">
      <w:pPr>
        <w:numPr>
          <w:ilvl w:val="1"/>
          <w:numId w:val="1"/>
        </w:numPr>
        <w:ind w:hanging="360"/>
      </w:pPr>
      <w:r>
        <w:t xml:space="preserve">A veteran who served in the United States Armed Forces and was honorably discharged, OR </w:t>
      </w:r>
    </w:p>
    <w:p w14:paraId="00D2FE47" w14:textId="77777777" w:rsidR="00350B75" w:rsidRDefault="00000000">
      <w:pPr>
        <w:numPr>
          <w:ilvl w:val="1"/>
          <w:numId w:val="1"/>
        </w:numPr>
        <w:ind w:hanging="360"/>
      </w:pPr>
      <w:r>
        <w:t xml:space="preserve">The spouse of an active duty servicemember or a veteran who was honorably discharged. </w:t>
      </w:r>
    </w:p>
    <w:p w14:paraId="39718EE2" w14:textId="77777777" w:rsidR="00350B75" w:rsidRDefault="00000000">
      <w:pPr>
        <w:numPr>
          <w:ilvl w:val="0"/>
          <w:numId w:val="1"/>
        </w:numPr>
        <w:ind w:hanging="360"/>
      </w:pPr>
      <w:r>
        <w:t xml:space="preserve">Applicants must be: </w:t>
      </w:r>
    </w:p>
    <w:p w14:paraId="54834A92" w14:textId="77777777" w:rsidR="00350B75" w:rsidRDefault="00000000">
      <w:pPr>
        <w:numPr>
          <w:ilvl w:val="1"/>
          <w:numId w:val="1"/>
        </w:numPr>
        <w:ind w:hanging="360"/>
      </w:pPr>
      <w:r>
        <w:t xml:space="preserve">a non-traditional student returning to the classroom after some period in which their formal education was interrupted, OR </w:t>
      </w:r>
    </w:p>
    <w:p w14:paraId="4BD09982" w14:textId="77777777" w:rsidR="00350B75" w:rsidRDefault="00000000">
      <w:pPr>
        <w:numPr>
          <w:ilvl w:val="1"/>
          <w:numId w:val="1"/>
        </w:numPr>
        <w:ind w:hanging="360"/>
      </w:pPr>
      <w:r>
        <w:t xml:space="preserve">a non-traditional student beginning their education at a later point in life. </w:t>
      </w:r>
    </w:p>
    <w:p w14:paraId="1C9DDB3B" w14:textId="77777777" w:rsidR="00350B75" w:rsidRDefault="00000000">
      <w:pPr>
        <w:numPr>
          <w:ilvl w:val="0"/>
          <w:numId w:val="1"/>
        </w:numPr>
        <w:spacing w:after="0" w:line="259" w:lineRule="auto"/>
        <w:ind w:hanging="360"/>
      </w:pPr>
      <w:r>
        <w:t xml:space="preserve">Completed applications are </w:t>
      </w:r>
      <w:r>
        <w:rPr>
          <w:b/>
        </w:rPr>
        <w:t>DUE ON OR BEFORE MARCH 1, 11:59 PM Eastern.</w:t>
      </w:r>
      <w:r>
        <w:t xml:space="preserve"> </w:t>
      </w:r>
    </w:p>
    <w:p w14:paraId="6EF03974" w14:textId="77777777" w:rsidR="00350B75" w:rsidRDefault="00000000">
      <w:pPr>
        <w:numPr>
          <w:ilvl w:val="0"/>
          <w:numId w:val="1"/>
        </w:numPr>
        <w:ind w:hanging="360"/>
      </w:pPr>
      <w:r>
        <w:t xml:space="preserve">Judging, at all levels, shall be on the following basis: </w:t>
      </w:r>
    </w:p>
    <w:p w14:paraId="10D8FAE0" w14:textId="77777777" w:rsidR="00350B75" w:rsidRDefault="00000000">
      <w:pPr>
        <w:numPr>
          <w:ilvl w:val="1"/>
          <w:numId w:val="1"/>
        </w:numPr>
        <w:ind w:hanging="360"/>
      </w:pPr>
      <w:r>
        <w:t xml:space="preserve">Academic Achievement   25% </w:t>
      </w:r>
    </w:p>
    <w:p w14:paraId="6F1D0DDB" w14:textId="77777777" w:rsidR="00350B75" w:rsidRDefault="00000000">
      <w:pPr>
        <w:numPr>
          <w:ilvl w:val="1"/>
          <w:numId w:val="1"/>
        </w:numPr>
        <w:ind w:hanging="360"/>
      </w:pPr>
      <w:r>
        <w:t xml:space="preserve">Financial Need                      25% </w:t>
      </w:r>
    </w:p>
    <w:p w14:paraId="48A98A63" w14:textId="77777777" w:rsidR="00350B75" w:rsidRDefault="00000000">
      <w:pPr>
        <w:numPr>
          <w:ilvl w:val="1"/>
          <w:numId w:val="1"/>
        </w:numPr>
        <w:ind w:hanging="360"/>
      </w:pPr>
      <w:r>
        <w:t xml:space="preserve">Character/Leadership       25% </w:t>
      </w:r>
    </w:p>
    <w:p w14:paraId="2B2ECD4F" w14:textId="77777777" w:rsidR="00350B75" w:rsidRDefault="00000000">
      <w:pPr>
        <w:numPr>
          <w:ilvl w:val="1"/>
          <w:numId w:val="1"/>
        </w:numPr>
        <w:spacing w:after="232"/>
        <w:ind w:hanging="360"/>
      </w:pPr>
      <w:r>
        <w:t xml:space="preserve">Initiative/Goals                      25% </w:t>
      </w:r>
    </w:p>
    <w:p w14:paraId="3D872545" w14:textId="77777777" w:rsidR="00350B75" w:rsidRDefault="00000000">
      <w:pPr>
        <w:spacing w:after="0" w:line="259" w:lineRule="auto"/>
        <w:ind w:left="0" w:firstLine="0"/>
      </w:pPr>
      <w:r>
        <w:rPr>
          <w:color w:val="000000"/>
          <w:sz w:val="22"/>
        </w:rPr>
        <w:t xml:space="preserve"> </w:t>
      </w:r>
    </w:p>
    <w:sectPr w:rsidR="00350B75">
      <w:pgSz w:w="12240" w:h="15840"/>
      <w:pgMar w:top="1440"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67CF"/>
    <w:multiLevelType w:val="hybridMultilevel"/>
    <w:tmpl w:val="933AC4F6"/>
    <w:lvl w:ilvl="0" w:tplc="B4D013DC">
      <w:start w:val="1"/>
      <w:numFmt w:val="decimal"/>
      <w:lvlText w:val="%1."/>
      <w:lvlJc w:val="left"/>
      <w:pPr>
        <w:ind w:left="72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1" w:tplc="4102470C">
      <w:start w:val="1"/>
      <w:numFmt w:val="lowerLetter"/>
      <w:lvlText w:val="%2."/>
      <w:lvlJc w:val="left"/>
      <w:pPr>
        <w:ind w:left="1425"/>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2" w:tplc="10BC6A3E">
      <w:start w:val="1"/>
      <w:numFmt w:val="lowerRoman"/>
      <w:lvlText w:val="%3"/>
      <w:lvlJc w:val="left"/>
      <w:pPr>
        <w:ind w:left="216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3" w:tplc="54026626">
      <w:start w:val="1"/>
      <w:numFmt w:val="decimal"/>
      <w:lvlText w:val="%4"/>
      <w:lvlJc w:val="left"/>
      <w:pPr>
        <w:ind w:left="288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4" w:tplc="316201CC">
      <w:start w:val="1"/>
      <w:numFmt w:val="lowerLetter"/>
      <w:lvlText w:val="%5"/>
      <w:lvlJc w:val="left"/>
      <w:pPr>
        <w:ind w:left="360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5" w:tplc="51CC828E">
      <w:start w:val="1"/>
      <w:numFmt w:val="lowerRoman"/>
      <w:lvlText w:val="%6"/>
      <w:lvlJc w:val="left"/>
      <w:pPr>
        <w:ind w:left="432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6" w:tplc="0D6E9170">
      <w:start w:val="1"/>
      <w:numFmt w:val="decimal"/>
      <w:lvlText w:val="%7"/>
      <w:lvlJc w:val="left"/>
      <w:pPr>
        <w:ind w:left="504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7" w:tplc="1FE85360">
      <w:start w:val="1"/>
      <w:numFmt w:val="lowerLetter"/>
      <w:lvlText w:val="%8"/>
      <w:lvlJc w:val="left"/>
      <w:pPr>
        <w:ind w:left="576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lvl w:ilvl="8" w:tplc="182CD8B4">
      <w:start w:val="1"/>
      <w:numFmt w:val="lowerRoman"/>
      <w:lvlText w:val="%9"/>
      <w:lvlJc w:val="left"/>
      <w:pPr>
        <w:ind w:left="6480"/>
      </w:pPr>
      <w:rPr>
        <w:rFonts w:ascii="Calibri" w:eastAsia="Calibri" w:hAnsi="Calibri" w:cs="Calibri"/>
        <w:b w:val="0"/>
        <w:i w:val="0"/>
        <w:strike w:val="0"/>
        <w:dstrike w:val="0"/>
        <w:color w:val="212529"/>
        <w:sz w:val="24"/>
        <w:szCs w:val="24"/>
        <w:u w:val="none" w:color="000000"/>
        <w:bdr w:val="none" w:sz="0" w:space="0" w:color="auto"/>
        <w:shd w:val="clear" w:color="auto" w:fill="auto"/>
        <w:vertAlign w:val="baseline"/>
      </w:rPr>
    </w:lvl>
  </w:abstractNum>
  <w:num w:numId="1" w16cid:durableId="23062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75"/>
    <w:rsid w:val="00350B75"/>
    <w:rsid w:val="0066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FFBE"/>
  <w15:docId w15:val="{A70DD587-9561-4A7A-8C26-F9FB5AEB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370" w:hanging="10"/>
    </w:pPr>
    <w:rPr>
      <w:rFonts w:ascii="Calibri" w:eastAsia="Calibri" w:hAnsi="Calibri" w:cs="Calibri"/>
      <w:color w:val="21252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on-aux.formstack.com/forms/2024_non_traditional_student" TargetMode="External"/><Relationship Id="rId3" Type="http://schemas.openxmlformats.org/officeDocument/2006/relationships/settings" Target="settings.xml"/><Relationship Id="rId7" Type="http://schemas.openxmlformats.org/officeDocument/2006/relationships/hyperlink" Target="https://legion-aux.formstack.com/forms/2024_non_traditional_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on-aux.org/Scholarships/Scholarship-Recipients" TargetMode="External"/><Relationship Id="rId5" Type="http://schemas.openxmlformats.org/officeDocument/2006/relationships/hyperlink" Target="https://www.legion-aux.org/Scholarships/Scholarship-Recipi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Montaney</dc:creator>
  <cp:keywords/>
  <cp:lastModifiedBy>Lizzy Clark-Brock</cp:lastModifiedBy>
  <cp:revision>2</cp:revision>
  <dcterms:created xsi:type="dcterms:W3CDTF">2023-12-06T04:08:00Z</dcterms:created>
  <dcterms:modified xsi:type="dcterms:W3CDTF">2023-12-06T04:08:00Z</dcterms:modified>
</cp:coreProperties>
</file>